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E8" w:rsidRDefault="001F4CE8" w:rsidP="001F4CE8">
      <w:pPr>
        <w:spacing w:line="240" w:lineRule="auto"/>
        <w:rPr>
          <w:lang w:eastAsia="it-IT"/>
        </w:rPr>
      </w:pPr>
      <w:bookmarkStart w:id="0" w:name="_Hlk500950892"/>
      <w:bookmarkStart w:id="1" w:name="_Hlk532469285"/>
      <w:bookmarkStart w:id="2" w:name="_Hlk532469545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7432"/>
      </w:tblGrid>
      <w:tr w:rsidR="001F4CE8" w:rsidRPr="00962D63" w:rsidTr="001A616C">
        <w:trPr>
          <w:trHeight w:val="196"/>
        </w:trPr>
        <w:tc>
          <w:tcPr>
            <w:tcW w:w="2235" w:type="dxa"/>
            <w:tcBorders>
              <w:right w:val="dotDash" w:sz="4" w:space="0" w:color="000000" w:themeColor="text1"/>
            </w:tcBorders>
          </w:tcPr>
          <w:p w:rsidR="001F4CE8" w:rsidRPr="00962D63" w:rsidRDefault="001F4CE8" w:rsidP="001A616C">
            <w:pPr>
              <w:rPr>
                <w:bCs/>
                <w:i/>
                <w:iCs/>
                <w:color w:val="000000"/>
                <w:spacing w:val="11"/>
              </w:rPr>
            </w:pPr>
            <w:r>
              <w:rPr>
                <w:bCs/>
                <w:i/>
                <w:iCs/>
                <w:color w:val="000000"/>
                <w:spacing w:val="11"/>
              </w:rPr>
              <w:t>Vista</w:t>
            </w:r>
          </w:p>
        </w:tc>
        <w:tc>
          <w:tcPr>
            <w:tcW w:w="7543" w:type="dxa"/>
            <w:tcBorders>
              <w:left w:val="dotDash" w:sz="4" w:space="0" w:color="000000" w:themeColor="text1"/>
            </w:tcBorders>
          </w:tcPr>
          <w:p w:rsidR="001F4CE8" w:rsidRPr="00F167C6" w:rsidRDefault="001F4CE8" w:rsidP="001A616C">
            <w:pPr>
              <w:spacing w:before="10" w:line="276" w:lineRule="auto"/>
              <w:ind w:right="144"/>
              <w:textAlignment w:val="baseline"/>
              <w:rPr>
                <w:szCs w:val="28"/>
                <w:lang w:eastAsia="it-IT"/>
              </w:rPr>
            </w:pPr>
            <w:proofErr w:type="gramStart"/>
            <w:r>
              <w:rPr>
                <w:szCs w:val="28"/>
                <w:lang w:eastAsia="it-IT"/>
              </w:rPr>
              <w:t>la</w:t>
            </w:r>
            <w:proofErr w:type="gramEnd"/>
            <w:r>
              <w:rPr>
                <w:szCs w:val="28"/>
                <w:lang w:eastAsia="it-IT"/>
              </w:rPr>
              <w:t xml:space="preserve"> Delibera ANAC n°777 del 24/11/2021 – delibera riguardante le proposte di semplificazione per l’applicazione della normativa anticorruzione e trasparenza agli ordini e collegi professionali; </w:t>
            </w:r>
          </w:p>
        </w:tc>
      </w:tr>
    </w:tbl>
    <w:p w:rsidR="001F4CE8" w:rsidRDefault="001F4CE8" w:rsidP="001F4CE8">
      <w:pPr>
        <w:spacing w:line="240" w:lineRule="auto"/>
        <w:rPr>
          <w:color w:val="000000"/>
          <w:spacing w:val="11"/>
        </w:rPr>
      </w:pPr>
    </w:p>
    <w:p w:rsidR="001F4CE8" w:rsidRPr="00106D6E" w:rsidRDefault="001F4CE8" w:rsidP="001F4CE8">
      <w:pPr>
        <w:spacing w:before="10"/>
        <w:ind w:right="144"/>
        <w:textAlignment w:val="baseline"/>
        <w:rPr>
          <w:bCs/>
          <w:color w:val="000000"/>
          <w:spacing w:val="11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7430"/>
      </w:tblGrid>
      <w:tr w:rsidR="001F4CE8" w:rsidTr="001A616C">
        <w:tc>
          <w:tcPr>
            <w:tcW w:w="2235" w:type="dxa"/>
            <w:tcBorders>
              <w:right w:val="dotDash" w:sz="4" w:space="0" w:color="000000" w:themeColor="text1"/>
            </w:tcBorders>
          </w:tcPr>
          <w:p w:rsidR="001F4CE8" w:rsidRPr="00106D6E" w:rsidRDefault="001F4CE8" w:rsidP="001A616C">
            <w:pPr>
              <w:spacing w:before="10"/>
              <w:ind w:right="144"/>
              <w:textAlignment w:val="baseline"/>
              <w:rPr>
                <w:bCs/>
                <w:i/>
                <w:iCs/>
                <w:color w:val="000000"/>
                <w:spacing w:val="11"/>
              </w:rPr>
            </w:pPr>
            <w:r>
              <w:rPr>
                <w:bCs/>
                <w:i/>
                <w:iCs/>
                <w:color w:val="000000"/>
                <w:spacing w:val="11"/>
              </w:rPr>
              <w:t xml:space="preserve">Dato atto </w:t>
            </w:r>
          </w:p>
        </w:tc>
        <w:tc>
          <w:tcPr>
            <w:tcW w:w="7543" w:type="dxa"/>
            <w:tcBorders>
              <w:left w:val="dotDash" w:sz="4" w:space="0" w:color="000000" w:themeColor="text1"/>
            </w:tcBorders>
          </w:tcPr>
          <w:p w:rsidR="001F4CE8" w:rsidRPr="00AF44D6" w:rsidRDefault="001F4CE8" w:rsidP="001A616C">
            <w:pPr>
              <w:spacing w:before="10" w:line="276" w:lineRule="auto"/>
              <w:ind w:right="144"/>
              <w:textAlignment w:val="baseline"/>
              <w:rPr>
                <w:szCs w:val="28"/>
                <w:lang w:eastAsia="it-IT"/>
              </w:rPr>
            </w:pPr>
            <w:proofErr w:type="gramStart"/>
            <w:r>
              <w:rPr>
                <w:szCs w:val="28"/>
                <w:lang w:eastAsia="it-IT"/>
              </w:rPr>
              <w:t>che</w:t>
            </w:r>
            <w:proofErr w:type="gramEnd"/>
            <w:r>
              <w:rPr>
                <w:szCs w:val="28"/>
                <w:lang w:eastAsia="it-IT"/>
              </w:rPr>
              <w:t xml:space="preserve"> nel corso del 2023 non si sono verificati fatti corruttivi, modifiche organizzative rilevanti, disfunzioni amministrative significative e modifiche degli obiettivi strategici;</w:t>
            </w:r>
          </w:p>
        </w:tc>
      </w:tr>
    </w:tbl>
    <w:p w:rsidR="001F4CE8" w:rsidRDefault="001F4CE8" w:rsidP="001F4CE8">
      <w:pPr>
        <w:spacing w:before="10"/>
        <w:ind w:right="144"/>
        <w:textAlignment w:val="baseline"/>
        <w:rPr>
          <w:bCs/>
          <w:color w:val="000000"/>
          <w:spacing w:val="11"/>
          <w:sz w:val="12"/>
          <w:szCs w:val="12"/>
        </w:rPr>
      </w:pPr>
    </w:p>
    <w:p w:rsidR="001F4CE8" w:rsidRPr="00106D6E" w:rsidRDefault="001F4CE8" w:rsidP="001F4CE8">
      <w:pPr>
        <w:spacing w:before="10"/>
        <w:ind w:right="144"/>
        <w:textAlignment w:val="baseline"/>
        <w:rPr>
          <w:bCs/>
          <w:color w:val="000000"/>
          <w:spacing w:val="11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7423"/>
      </w:tblGrid>
      <w:tr w:rsidR="001F4CE8" w:rsidTr="001A616C">
        <w:trPr>
          <w:trHeight w:val="196"/>
        </w:trPr>
        <w:tc>
          <w:tcPr>
            <w:tcW w:w="2235" w:type="dxa"/>
            <w:tcBorders>
              <w:right w:val="dotDash" w:sz="4" w:space="0" w:color="000000" w:themeColor="text1"/>
            </w:tcBorders>
          </w:tcPr>
          <w:p w:rsidR="001F4CE8" w:rsidRPr="00106D6E" w:rsidRDefault="001F4CE8" w:rsidP="001A616C">
            <w:pPr>
              <w:spacing w:before="10"/>
              <w:ind w:right="144"/>
              <w:textAlignment w:val="baseline"/>
              <w:rPr>
                <w:bCs/>
                <w:i/>
                <w:iCs/>
                <w:color w:val="000000"/>
                <w:spacing w:val="11"/>
              </w:rPr>
            </w:pPr>
            <w:r>
              <w:rPr>
                <w:bCs/>
                <w:i/>
                <w:iCs/>
                <w:color w:val="000000"/>
                <w:spacing w:val="11"/>
              </w:rPr>
              <w:t>Ritenuto</w:t>
            </w:r>
          </w:p>
        </w:tc>
        <w:tc>
          <w:tcPr>
            <w:tcW w:w="7543" w:type="dxa"/>
            <w:tcBorders>
              <w:left w:val="dotDash" w:sz="4" w:space="0" w:color="000000" w:themeColor="text1"/>
            </w:tcBorders>
          </w:tcPr>
          <w:p w:rsidR="001F4CE8" w:rsidRPr="009D0222" w:rsidRDefault="001F4CE8" w:rsidP="001F4CE8">
            <w:pPr>
              <w:spacing w:before="10" w:line="276" w:lineRule="auto"/>
              <w:ind w:right="144"/>
              <w:textAlignment w:val="baseline"/>
              <w:rPr>
                <w:szCs w:val="28"/>
                <w:lang w:eastAsia="it-IT"/>
              </w:rPr>
            </w:pPr>
            <w:proofErr w:type="gramStart"/>
            <w:r>
              <w:rPr>
                <w:szCs w:val="28"/>
                <w:lang w:eastAsia="it-IT"/>
              </w:rPr>
              <w:t>di</w:t>
            </w:r>
            <w:proofErr w:type="gramEnd"/>
            <w:r>
              <w:rPr>
                <w:szCs w:val="28"/>
                <w:lang w:eastAsia="it-IT"/>
              </w:rPr>
              <w:t xml:space="preserve"> avvalersi della facoltà prevista dalla sopra citata Delibera ANAC n°777 del 24/11/2021, </w:t>
            </w:r>
            <w:r w:rsidRPr="007D1DFB">
              <w:rPr>
                <w:b/>
                <w:bCs/>
                <w:szCs w:val="28"/>
                <w:lang w:eastAsia="it-IT"/>
              </w:rPr>
              <w:t>di confermare per l’anno 202</w:t>
            </w:r>
            <w:r>
              <w:rPr>
                <w:b/>
                <w:bCs/>
                <w:szCs w:val="28"/>
                <w:lang w:eastAsia="it-IT"/>
              </w:rPr>
              <w:t xml:space="preserve">4 </w:t>
            </w:r>
            <w:r>
              <w:rPr>
                <w:szCs w:val="28"/>
                <w:lang w:eastAsia="it-IT"/>
              </w:rPr>
              <w:t xml:space="preserve">il vigente </w:t>
            </w:r>
            <w:r w:rsidRPr="007D1DFB">
              <w:rPr>
                <w:i/>
                <w:iCs/>
                <w:szCs w:val="28"/>
                <w:lang w:eastAsia="it-IT"/>
              </w:rPr>
              <w:t>Piano</w:t>
            </w:r>
            <w:r w:rsidRPr="009D0222">
              <w:rPr>
                <w:i/>
                <w:iCs/>
                <w:szCs w:val="28"/>
                <w:lang w:eastAsia="it-IT"/>
              </w:rPr>
              <w:t xml:space="preserve"> Triennale per la Prevenzione della Corruzione e Trasparenza</w:t>
            </w:r>
            <w:r>
              <w:rPr>
                <w:i/>
                <w:iCs/>
                <w:szCs w:val="28"/>
                <w:lang w:eastAsia="it-IT"/>
              </w:rPr>
              <w:t xml:space="preserve">, </w:t>
            </w:r>
            <w:r w:rsidRPr="007D1DFB">
              <w:rPr>
                <w:szCs w:val="28"/>
                <w:lang w:eastAsia="it-IT"/>
              </w:rPr>
              <w:t xml:space="preserve">dando atto che il Consiglio </w:t>
            </w:r>
            <w:r>
              <w:rPr>
                <w:szCs w:val="28"/>
                <w:lang w:eastAsia="it-IT"/>
              </w:rPr>
              <w:t xml:space="preserve">Provinciale </w:t>
            </w:r>
            <w:r w:rsidRPr="007D1DFB">
              <w:rPr>
                <w:szCs w:val="28"/>
                <w:lang w:eastAsia="it-IT"/>
              </w:rPr>
              <w:t xml:space="preserve"> dei Periti Agrari e Periti Agrari </w:t>
            </w:r>
            <w:r>
              <w:rPr>
                <w:szCs w:val="28"/>
                <w:lang w:eastAsia="it-IT"/>
              </w:rPr>
              <w:t xml:space="preserve">di Cagliari e  Oristano </w:t>
            </w:r>
            <w:r w:rsidRPr="007D1DFB">
              <w:rPr>
                <w:szCs w:val="28"/>
                <w:lang w:eastAsia="it-IT"/>
              </w:rPr>
              <w:t>ha meno di cinquanta dipendenti;</w:t>
            </w:r>
          </w:p>
        </w:tc>
      </w:tr>
    </w:tbl>
    <w:p w:rsidR="001F4CE8" w:rsidRDefault="001F4CE8" w:rsidP="001F4CE8">
      <w:pPr>
        <w:spacing w:before="10"/>
        <w:ind w:right="144"/>
        <w:textAlignment w:val="baseline"/>
        <w:rPr>
          <w:bCs/>
          <w:color w:val="000000"/>
          <w:spacing w:val="11"/>
          <w:sz w:val="12"/>
          <w:szCs w:val="12"/>
        </w:rPr>
      </w:pPr>
    </w:p>
    <w:p w:rsidR="001F4CE8" w:rsidRDefault="001F4CE8" w:rsidP="001F4CE8">
      <w:pPr>
        <w:spacing w:before="10"/>
        <w:ind w:right="144"/>
        <w:textAlignment w:val="baseline"/>
        <w:rPr>
          <w:bCs/>
          <w:color w:val="000000"/>
          <w:spacing w:val="11"/>
        </w:rPr>
      </w:pPr>
    </w:p>
    <w:p w:rsidR="001F4CE8" w:rsidRDefault="001F4CE8" w:rsidP="001F4CE8">
      <w:pPr>
        <w:spacing w:before="10"/>
        <w:ind w:right="144"/>
        <w:textAlignment w:val="baseline"/>
        <w:rPr>
          <w:bCs/>
          <w:color w:val="000000"/>
          <w:spacing w:val="11"/>
        </w:rPr>
      </w:pPr>
      <w:r>
        <w:rPr>
          <w:bCs/>
          <w:color w:val="000000"/>
          <w:spacing w:val="11"/>
        </w:rPr>
        <w:t>Dopo ampia ed esauriente discussione non essendoci proposte emendative,</w:t>
      </w:r>
    </w:p>
    <w:p w:rsidR="001F4CE8" w:rsidRPr="00875AF3" w:rsidRDefault="001F4CE8" w:rsidP="001F4CE8">
      <w:pPr>
        <w:spacing w:before="10"/>
        <w:ind w:right="144"/>
        <w:textAlignment w:val="baseline"/>
        <w:rPr>
          <w:bCs/>
          <w:color w:val="000000"/>
          <w:spacing w:val="11"/>
        </w:rPr>
      </w:pPr>
    </w:p>
    <w:p w:rsidR="001F4CE8" w:rsidRPr="00875AF3" w:rsidRDefault="001F4CE8" w:rsidP="001F4CE8">
      <w:pPr>
        <w:spacing w:before="275"/>
        <w:ind w:right="142"/>
        <w:contextualSpacing/>
        <w:jc w:val="center"/>
        <w:textAlignment w:val="baseline"/>
        <w:rPr>
          <w:b/>
          <w:sz w:val="32"/>
          <w:szCs w:val="32"/>
        </w:rPr>
      </w:pPr>
      <w:proofErr w:type="gramStart"/>
      <w:r w:rsidRPr="00875AF3">
        <w:rPr>
          <w:b/>
          <w:sz w:val="32"/>
          <w:szCs w:val="32"/>
        </w:rPr>
        <w:t>il</w:t>
      </w:r>
      <w:proofErr w:type="gramEnd"/>
      <w:r w:rsidRPr="00875AF3">
        <w:rPr>
          <w:b/>
          <w:sz w:val="32"/>
          <w:szCs w:val="32"/>
        </w:rPr>
        <w:t xml:space="preserve"> Consiglio </w:t>
      </w:r>
    </w:p>
    <w:p w:rsidR="001F4CE8" w:rsidRPr="00875AF3" w:rsidRDefault="001F4CE8" w:rsidP="001F4CE8">
      <w:pPr>
        <w:spacing w:before="275"/>
        <w:ind w:right="142"/>
        <w:contextualSpacing/>
        <w:jc w:val="center"/>
        <w:textAlignment w:val="baseline"/>
        <w:rPr>
          <w:b/>
          <w:sz w:val="32"/>
          <w:szCs w:val="32"/>
        </w:rPr>
      </w:pPr>
      <w:r w:rsidRPr="00875AF3">
        <w:rPr>
          <w:b/>
          <w:sz w:val="32"/>
          <w:szCs w:val="32"/>
        </w:rPr>
        <w:t>DELIBERA</w:t>
      </w:r>
    </w:p>
    <w:p w:rsidR="001F4CE8" w:rsidRPr="008E73E5" w:rsidRDefault="001F4CE8" w:rsidP="001F4CE8">
      <w:pPr>
        <w:spacing w:before="10"/>
        <w:ind w:right="144"/>
        <w:textAlignment w:val="baseline"/>
        <w:rPr>
          <w:bCs/>
          <w:color w:val="000000"/>
          <w:spacing w:val="11"/>
          <w:highlight w:val="yellow"/>
        </w:rPr>
      </w:pPr>
    </w:p>
    <w:p w:rsidR="001F4CE8" w:rsidRPr="007D1DFB" w:rsidRDefault="001F4CE8" w:rsidP="001F4CE8">
      <w:pPr>
        <w:numPr>
          <w:ilvl w:val="0"/>
          <w:numId w:val="3"/>
        </w:numPr>
        <w:spacing w:after="0" w:line="240" w:lineRule="auto"/>
        <w:jc w:val="both"/>
        <w:rPr>
          <w:b/>
          <w:bCs/>
          <w:szCs w:val="28"/>
        </w:rPr>
      </w:pPr>
      <w:r w:rsidRPr="005853D6">
        <w:rPr>
          <w:b/>
          <w:bCs/>
        </w:rPr>
        <w:t>Di confermare per l’anno 202</w:t>
      </w:r>
      <w:r>
        <w:rPr>
          <w:b/>
          <w:bCs/>
        </w:rPr>
        <w:t xml:space="preserve">4 il vigente </w:t>
      </w:r>
      <w:r w:rsidRPr="007D1DFB">
        <w:rPr>
          <w:b/>
          <w:bCs/>
          <w:i/>
          <w:iCs/>
          <w:szCs w:val="28"/>
          <w:lang w:eastAsia="it-IT"/>
        </w:rPr>
        <w:t>Piano Triennale per la Prevenzione della Corruzione e Trasparenza</w:t>
      </w:r>
      <w:r>
        <w:rPr>
          <w:b/>
          <w:bCs/>
        </w:rPr>
        <w:t xml:space="preserve">, </w:t>
      </w:r>
      <w:r w:rsidRPr="007D1DFB">
        <w:rPr>
          <w:b/>
          <w:bCs/>
        </w:rPr>
        <w:t>che allegato alla presente ne costituisce parte integrante;</w:t>
      </w:r>
    </w:p>
    <w:p w:rsidR="001F4CE8" w:rsidRPr="007D1DFB" w:rsidRDefault="001F4CE8" w:rsidP="001F4CE8">
      <w:pPr>
        <w:numPr>
          <w:ilvl w:val="0"/>
          <w:numId w:val="3"/>
        </w:num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Di pubblicare la presente delibera sul sito istituzionale alla sezione di A.T. – “Altri contenuti”; </w:t>
      </w:r>
    </w:p>
    <w:p w:rsidR="001F4CE8" w:rsidRDefault="001F4CE8" w:rsidP="001F4CE8">
      <w:pPr>
        <w:numPr>
          <w:ilvl w:val="0"/>
          <w:numId w:val="3"/>
        </w:numPr>
        <w:spacing w:after="0" w:line="240" w:lineRule="auto"/>
        <w:jc w:val="both"/>
        <w:rPr>
          <w:b/>
          <w:bCs/>
          <w:szCs w:val="28"/>
        </w:rPr>
      </w:pPr>
      <w:r w:rsidRPr="00875AF3">
        <w:rPr>
          <w:b/>
          <w:bCs/>
          <w:szCs w:val="28"/>
        </w:rPr>
        <w:t>Immediata esecutività.</w:t>
      </w:r>
    </w:p>
    <w:bookmarkEnd w:id="0"/>
    <w:bookmarkEnd w:id="1"/>
    <w:bookmarkEnd w:id="2"/>
    <w:p w:rsidR="001F4CE8" w:rsidRPr="00875AF3" w:rsidRDefault="001F4CE8" w:rsidP="001F4CE8">
      <w:pPr>
        <w:spacing w:line="240" w:lineRule="auto"/>
        <w:rPr>
          <w:b/>
          <w:bCs/>
          <w:szCs w:val="28"/>
        </w:rPr>
      </w:pPr>
    </w:p>
    <w:p w:rsidR="001F4CE8" w:rsidRDefault="001F4CE8" w:rsidP="00645F4D">
      <w:pPr>
        <w:pStyle w:val="Paragrafoelenco"/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</w:rPr>
      </w:pPr>
    </w:p>
    <w:p w:rsidR="001F4CE8" w:rsidRDefault="001F4CE8" w:rsidP="00645F4D">
      <w:pPr>
        <w:pStyle w:val="Paragrafoelenco"/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</w:rPr>
      </w:pPr>
    </w:p>
    <w:p w:rsidR="001F4CE8" w:rsidRDefault="001F4CE8" w:rsidP="00645F4D">
      <w:pPr>
        <w:pStyle w:val="Paragrafoelenco"/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</w:rPr>
      </w:pPr>
      <w:bookmarkStart w:id="3" w:name="_GoBack"/>
      <w:bookmarkEnd w:id="3"/>
    </w:p>
    <w:p w:rsidR="009967F9" w:rsidRPr="009C7B65" w:rsidRDefault="006B01E8" w:rsidP="00645F4D">
      <w:pPr>
        <w:tabs>
          <w:tab w:val="left" w:pos="3386"/>
          <w:tab w:val="center" w:pos="4819"/>
        </w:tabs>
        <w:rPr>
          <w:rFonts w:cs="Arial"/>
          <w:color w:val="A6A6A6" w:themeColor="background1" w:themeShade="A6"/>
        </w:rPr>
      </w:pPr>
      <w:r w:rsidRPr="009C7B65">
        <w:rPr>
          <w:rFonts w:cs="Arial"/>
          <w:color w:val="A6A6A6" w:themeColor="background1" w:themeShade="A6"/>
        </w:rPr>
        <w:t xml:space="preserve">                        </w:t>
      </w:r>
    </w:p>
    <w:sectPr w:rsidR="009967F9" w:rsidRPr="009C7B65" w:rsidSect="00CE685B">
      <w:headerReference w:type="default" r:id="rId7"/>
      <w:footerReference w:type="default" r:id="rId8"/>
      <w:pgSz w:w="11906" w:h="16838"/>
      <w:pgMar w:top="1417" w:right="1134" w:bottom="1134" w:left="1134" w:header="567" w:footer="10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2D8" w:rsidRDefault="001942D8" w:rsidP="00CE685B">
      <w:pPr>
        <w:spacing w:after="0" w:line="240" w:lineRule="auto"/>
      </w:pPr>
      <w:r>
        <w:separator/>
      </w:r>
    </w:p>
  </w:endnote>
  <w:endnote w:type="continuationSeparator" w:id="0">
    <w:p w:rsidR="001942D8" w:rsidRDefault="001942D8" w:rsidP="00CE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85B" w:rsidRDefault="00CE685B" w:rsidP="00CE685B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  <w:jc w:val="center"/>
      <w:rPr>
        <w:rFonts w:ascii="TimesNewRomanPSMT" w:hAnsi="TimesNewRomanPSMT" w:cs="TimesNewRomanPSMT"/>
        <w:color w:val="000000"/>
        <w:sz w:val="20"/>
        <w:szCs w:val="20"/>
      </w:rPr>
    </w:pPr>
    <w:r>
      <w:rPr>
        <w:rFonts w:ascii="TimesNewRomanPSMT" w:hAnsi="TimesNewRomanPSMT" w:cs="TimesNewRomanPSMT"/>
        <w:color w:val="000000"/>
        <w:sz w:val="20"/>
        <w:szCs w:val="20"/>
      </w:rPr>
      <w:t xml:space="preserve">Via Mestre, 8    09126 CAGLIARI     </w:t>
    </w:r>
    <w:r>
      <w:rPr>
        <w:rFonts w:ascii="TimesNewRomanPSMT" w:hAnsi="TimesNewRomanPSMT" w:cs="TimesNewRomanPSMT"/>
        <w:color w:val="000000"/>
        <w:sz w:val="14"/>
        <w:szCs w:val="14"/>
      </w:rPr>
      <w:t xml:space="preserve"> </w:t>
    </w:r>
    <w:proofErr w:type="spellStart"/>
    <w:r>
      <w:rPr>
        <w:rFonts w:ascii="TimesNewRomanPSMT" w:hAnsi="TimesNewRomanPSMT" w:cs="TimesNewRomanPSMT"/>
        <w:color w:val="000000"/>
        <w:sz w:val="20"/>
        <w:szCs w:val="20"/>
      </w:rPr>
      <w:t>Tel</w:t>
    </w:r>
    <w:proofErr w:type="spellEnd"/>
    <w:r>
      <w:rPr>
        <w:rFonts w:ascii="TimesNewRomanPSMT" w:hAnsi="TimesNewRomanPSMT" w:cs="TimesNewRomanPSMT"/>
        <w:color w:val="000000"/>
        <w:sz w:val="20"/>
        <w:szCs w:val="20"/>
      </w:rPr>
      <w:t xml:space="preserve"> Fax 070 300304</w:t>
    </w:r>
  </w:p>
  <w:p w:rsidR="00CE685B" w:rsidRPr="00CE685B" w:rsidRDefault="001942D8" w:rsidP="00CE685B">
    <w:pPr>
      <w:pStyle w:val="Pidipagina"/>
      <w:jc w:val="center"/>
      <w:rPr>
        <w:rFonts w:ascii="TimesNewRomanPSMT" w:hAnsi="TimesNewRomanPSMT" w:cs="TimesNewRomanPSMT"/>
        <w:i/>
        <w:iCs/>
        <w:color w:val="000000"/>
        <w:sz w:val="20"/>
        <w:szCs w:val="20"/>
      </w:rPr>
    </w:pPr>
    <w:hyperlink r:id="rId1" w:history="1">
      <w:r w:rsidR="00CE685B" w:rsidRPr="00CE685B">
        <w:rPr>
          <w:rFonts w:ascii="TimesNewRomanPSMT" w:hAnsi="TimesNewRomanPSMT" w:cs="TimesNewRomanPSMT"/>
          <w:i/>
          <w:iCs/>
          <w:color w:val="000000"/>
          <w:sz w:val="20"/>
          <w:szCs w:val="20"/>
        </w:rPr>
        <w:t>peragr@tiscali.it</w:t>
      </w:r>
    </w:hyperlink>
    <w:r w:rsidR="00CE685B">
      <w:rPr>
        <w:rFonts w:ascii="TimesNewRomanPSMT" w:hAnsi="TimesNewRomanPSMT" w:cs="TimesNewRomanPSMT"/>
        <w:i/>
        <w:iCs/>
        <w:color w:val="000000"/>
        <w:sz w:val="20"/>
        <w:szCs w:val="20"/>
      </w:rPr>
      <w:t xml:space="preserve">         collegio.cagliari@peritiagrari.it       collegio.cagliari@pec.peritiagrari.it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2D8" w:rsidRDefault="001942D8" w:rsidP="00CE685B">
      <w:pPr>
        <w:spacing w:after="0" w:line="240" w:lineRule="auto"/>
      </w:pPr>
      <w:r>
        <w:separator/>
      </w:r>
    </w:p>
  </w:footnote>
  <w:footnote w:type="continuationSeparator" w:id="0">
    <w:p w:rsidR="001942D8" w:rsidRDefault="001942D8" w:rsidP="00CE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85B" w:rsidRDefault="00CE685B" w:rsidP="00CE685B">
    <w:pPr>
      <w:jc w:val="center"/>
      <w:rPr>
        <w:i/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1030244" cy="593388"/>
          <wp:effectExtent l="0" t="0" r="0" b="0"/>
          <wp:docPr id="28" name="Immagine 28" descr="\\Mac\Home\Desktop\collegio-provinciale-periti-agrari-cagliari-orist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collegio-provinciale-periti-agrari-cagliari-oristan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87"/>
                  <a:stretch/>
                </pic:blipFill>
                <pic:spPr bwMode="auto">
                  <a:xfrm>
                    <a:off x="0" y="0"/>
                    <a:ext cx="1076594" cy="6200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E685B" w:rsidRPr="00CE685B" w:rsidRDefault="00CE685B" w:rsidP="00CE685B">
    <w:pPr>
      <w:jc w:val="center"/>
      <w:rPr>
        <w:rFonts w:ascii="Times New Roman" w:hAnsi="Times New Roman" w:cs="Times New Roman"/>
        <w:i/>
        <w:sz w:val="16"/>
        <w:szCs w:val="16"/>
      </w:rPr>
    </w:pPr>
    <w:r w:rsidRPr="00CE685B">
      <w:rPr>
        <w:rFonts w:ascii="Times New Roman" w:hAnsi="Times New Roman" w:cs="Times New Roman"/>
        <w:i/>
        <w:sz w:val="16"/>
        <w:szCs w:val="16"/>
      </w:rPr>
      <w:t xml:space="preserve">COLLEGIO PROVINCIALE DEI PERITI AGRARI E DEI PERITI AGRARI </w:t>
    </w:r>
    <w:proofErr w:type="gramStart"/>
    <w:r w:rsidRPr="00CE685B">
      <w:rPr>
        <w:rFonts w:ascii="Times New Roman" w:hAnsi="Times New Roman" w:cs="Times New Roman"/>
        <w:i/>
        <w:sz w:val="16"/>
        <w:szCs w:val="16"/>
      </w:rPr>
      <w:t>LAUREATI  DI</w:t>
    </w:r>
    <w:proofErr w:type="gramEnd"/>
    <w:r w:rsidRPr="00CE685B">
      <w:rPr>
        <w:rFonts w:ascii="Times New Roman" w:hAnsi="Times New Roman" w:cs="Times New Roman"/>
        <w:i/>
        <w:sz w:val="16"/>
        <w:szCs w:val="16"/>
      </w:rPr>
      <w:t xml:space="preserve"> CAGLIARI E ORISTANO</w:t>
    </w:r>
  </w:p>
  <w:p w:rsidR="00CE685B" w:rsidRPr="00CE685B" w:rsidRDefault="00CE685B" w:rsidP="00CE68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B47B4B"/>
    <w:multiLevelType w:val="hybridMultilevel"/>
    <w:tmpl w:val="627C9D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32A95"/>
    <w:multiLevelType w:val="hybridMultilevel"/>
    <w:tmpl w:val="55FC0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41"/>
    <w:rsid w:val="00026C9E"/>
    <w:rsid w:val="0004533D"/>
    <w:rsid w:val="00065509"/>
    <w:rsid w:val="00090E99"/>
    <w:rsid w:val="000B0593"/>
    <w:rsid w:val="000B2452"/>
    <w:rsid w:val="000B6213"/>
    <w:rsid w:val="000D41DC"/>
    <w:rsid w:val="000E6C3F"/>
    <w:rsid w:val="000F6423"/>
    <w:rsid w:val="001017E3"/>
    <w:rsid w:val="001031E0"/>
    <w:rsid w:val="0010390D"/>
    <w:rsid w:val="00103F64"/>
    <w:rsid w:val="00113BBF"/>
    <w:rsid w:val="00120376"/>
    <w:rsid w:val="0012500B"/>
    <w:rsid w:val="001348F6"/>
    <w:rsid w:val="00134ECC"/>
    <w:rsid w:val="001370E7"/>
    <w:rsid w:val="001448BB"/>
    <w:rsid w:val="001528C5"/>
    <w:rsid w:val="001942D8"/>
    <w:rsid w:val="001B12D0"/>
    <w:rsid w:val="001B5916"/>
    <w:rsid w:val="001B789A"/>
    <w:rsid w:val="001C4E22"/>
    <w:rsid w:val="001C6FBC"/>
    <w:rsid w:val="001D59DA"/>
    <w:rsid w:val="001D6B54"/>
    <w:rsid w:val="001E675C"/>
    <w:rsid w:val="001F4CE8"/>
    <w:rsid w:val="0022529E"/>
    <w:rsid w:val="00244316"/>
    <w:rsid w:val="002534EF"/>
    <w:rsid w:val="00257DEC"/>
    <w:rsid w:val="002856B9"/>
    <w:rsid w:val="002904C3"/>
    <w:rsid w:val="0029434A"/>
    <w:rsid w:val="002B145F"/>
    <w:rsid w:val="002C525B"/>
    <w:rsid w:val="00300F3B"/>
    <w:rsid w:val="003037B9"/>
    <w:rsid w:val="00321B20"/>
    <w:rsid w:val="00335356"/>
    <w:rsid w:val="00371692"/>
    <w:rsid w:val="00373869"/>
    <w:rsid w:val="0039560D"/>
    <w:rsid w:val="003F1EC2"/>
    <w:rsid w:val="004078C9"/>
    <w:rsid w:val="00422D10"/>
    <w:rsid w:val="0043334C"/>
    <w:rsid w:val="004433AC"/>
    <w:rsid w:val="0045747D"/>
    <w:rsid w:val="0048678E"/>
    <w:rsid w:val="00493882"/>
    <w:rsid w:val="004A4DE0"/>
    <w:rsid w:val="004B2BD9"/>
    <w:rsid w:val="004B58F6"/>
    <w:rsid w:val="004E4053"/>
    <w:rsid w:val="0052270A"/>
    <w:rsid w:val="00552E05"/>
    <w:rsid w:val="005D291B"/>
    <w:rsid w:val="005E3C65"/>
    <w:rsid w:val="0061432D"/>
    <w:rsid w:val="0062336B"/>
    <w:rsid w:val="006310E9"/>
    <w:rsid w:val="006373EC"/>
    <w:rsid w:val="006408D8"/>
    <w:rsid w:val="00645F4D"/>
    <w:rsid w:val="00653324"/>
    <w:rsid w:val="006569D9"/>
    <w:rsid w:val="0067413E"/>
    <w:rsid w:val="006A1A86"/>
    <w:rsid w:val="006B01E8"/>
    <w:rsid w:val="006B2124"/>
    <w:rsid w:val="006B7D08"/>
    <w:rsid w:val="006C5A1A"/>
    <w:rsid w:val="006E383A"/>
    <w:rsid w:val="006F4B33"/>
    <w:rsid w:val="00740C4F"/>
    <w:rsid w:val="007463D0"/>
    <w:rsid w:val="00754392"/>
    <w:rsid w:val="0075647A"/>
    <w:rsid w:val="00763D65"/>
    <w:rsid w:val="0079050B"/>
    <w:rsid w:val="00797CA2"/>
    <w:rsid w:val="007A6FB0"/>
    <w:rsid w:val="007C1BCF"/>
    <w:rsid w:val="007D0A02"/>
    <w:rsid w:val="007D17BD"/>
    <w:rsid w:val="007E3CAB"/>
    <w:rsid w:val="008064C9"/>
    <w:rsid w:val="00810641"/>
    <w:rsid w:val="00820048"/>
    <w:rsid w:val="008323BF"/>
    <w:rsid w:val="00847B93"/>
    <w:rsid w:val="008633E0"/>
    <w:rsid w:val="00876C80"/>
    <w:rsid w:val="00884610"/>
    <w:rsid w:val="00897D10"/>
    <w:rsid w:val="008C136E"/>
    <w:rsid w:val="00901AE8"/>
    <w:rsid w:val="009943BD"/>
    <w:rsid w:val="009967F9"/>
    <w:rsid w:val="009C7B65"/>
    <w:rsid w:val="00A30D20"/>
    <w:rsid w:val="00A42481"/>
    <w:rsid w:val="00A462BB"/>
    <w:rsid w:val="00A55C97"/>
    <w:rsid w:val="00A67157"/>
    <w:rsid w:val="00A71147"/>
    <w:rsid w:val="00A73C43"/>
    <w:rsid w:val="00A91EEB"/>
    <w:rsid w:val="00AA13E8"/>
    <w:rsid w:val="00AD129F"/>
    <w:rsid w:val="00AD3BE0"/>
    <w:rsid w:val="00B2250C"/>
    <w:rsid w:val="00B34B4D"/>
    <w:rsid w:val="00BA7D09"/>
    <w:rsid w:val="00BD59C1"/>
    <w:rsid w:val="00BE16E2"/>
    <w:rsid w:val="00C12E09"/>
    <w:rsid w:val="00C35BDC"/>
    <w:rsid w:val="00C36FED"/>
    <w:rsid w:val="00C5087A"/>
    <w:rsid w:val="00C53087"/>
    <w:rsid w:val="00C57B0A"/>
    <w:rsid w:val="00C7395F"/>
    <w:rsid w:val="00C75166"/>
    <w:rsid w:val="00CA3D03"/>
    <w:rsid w:val="00CB4EC1"/>
    <w:rsid w:val="00CC0D98"/>
    <w:rsid w:val="00CD059E"/>
    <w:rsid w:val="00CE2815"/>
    <w:rsid w:val="00CE685B"/>
    <w:rsid w:val="00D0256E"/>
    <w:rsid w:val="00D10ADC"/>
    <w:rsid w:val="00D242E5"/>
    <w:rsid w:val="00D42720"/>
    <w:rsid w:val="00D43778"/>
    <w:rsid w:val="00D43A99"/>
    <w:rsid w:val="00D663B5"/>
    <w:rsid w:val="00DA592C"/>
    <w:rsid w:val="00DB106F"/>
    <w:rsid w:val="00DB1E28"/>
    <w:rsid w:val="00DD5AB2"/>
    <w:rsid w:val="00DF0EEB"/>
    <w:rsid w:val="00DF227B"/>
    <w:rsid w:val="00E07342"/>
    <w:rsid w:val="00E152EC"/>
    <w:rsid w:val="00E32957"/>
    <w:rsid w:val="00E42570"/>
    <w:rsid w:val="00E507D5"/>
    <w:rsid w:val="00E64FDE"/>
    <w:rsid w:val="00E73A79"/>
    <w:rsid w:val="00E80FCA"/>
    <w:rsid w:val="00E94FD8"/>
    <w:rsid w:val="00EB04F1"/>
    <w:rsid w:val="00EB37AF"/>
    <w:rsid w:val="00EB3DE0"/>
    <w:rsid w:val="00ED5155"/>
    <w:rsid w:val="00ED55A4"/>
    <w:rsid w:val="00F03776"/>
    <w:rsid w:val="00F10AB3"/>
    <w:rsid w:val="00F412A3"/>
    <w:rsid w:val="00F43713"/>
    <w:rsid w:val="00F803BE"/>
    <w:rsid w:val="00F9748E"/>
    <w:rsid w:val="00FB5E4C"/>
    <w:rsid w:val="00FD4EBA"/>
    <w:rsid w:val="00FD6C1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DEC934-D940-436B-B82B-7C173B8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06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0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00F3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E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85B"/>
  </w:style>
  <w:style w:type="paragraph" w:styleId="Pidipagina">
    <w:name w:val="footer"/>
    <w:basedOn w:val="Normale"/>
    <w:link w:val="PidipaginaCarattere"/>
    <w:uiPriority w:val="99"/>
    <w:unhideWhenUsed/>
    <w:rsid w:val="00CE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85B"/>
  </w:style>
  <w:style w:type="character" w:styleId="Collegamentoipertestuale">
    <w:name w:val="Hyperlink"/>
    <w:basedOn w:val="Carpredefinitoparagrafo"/>
    <w:uiPriority w:val="99"/>
    <w:unhideWhenUsed/>
    <w:rsid w:val="00CE68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85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B01E8"/>
    <w:pPr>
      <w:ind w:left="720"/>
      <w:contextualSpacing/>
    </w:pPr>
  </w:style>
  <w:style w:type="table" w:styleId="Grigliatabella">
    <w:name w:val="Table Grid"/>
    <w:basedOn w:val="Tabellanormale"/>
    <w:uiPriority w:val="39"/>
    <w:rsid w:val="0012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agr@tisca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</cp:lastModifiedBy>
  <cp:revision>2</cp:revision>
  <cp:lastPrinted>2024-02-14T10:08:00Z</cp:lastPrinted>
  <dcterms:created xsi:type="dcterms:W3CDTF">2024-02-23T07:34:00Z</dcterms:created>
  <dcterms:modified xsi:type="dcterms:W3CDTF">2024-02-23T07:34:00Z</dcterms:modified>
</cp:coreProperties>
</file>